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305" w:rsidRDefault="00F90305" w:rsidP="00F90305">
      <w:pPr>
        <w:contextualSpacing/>
        <w:jc w:val="center"/>
      </w:pPr>
      <w:r>
        <w:t xml:space="preserve">Diet Instruction on Celiac Disease </w:t>
      </w:r>
    </w:p>
    <w:p w:rsidR="00F90305" w:rsidRDefault="00F90305" w:rsidP="00F90305">
      <w:pPr>
        <w:contextualSpacing/>
        <w:jc w:val="center"/>
      </w:pPr>
    </w:p>
    <w:p w:rsidR="00D63CC5" w:rsidRDefault="00D63CC5" w:rsidP="00D63CC5">
      <w:pPr>
        <w:pStyle w:val="ListParagraph"/>
        <w:numPr>
          <w:ilvl w:val="0"/>
          <w:numId w:val="1"/>
        </w:numPr>
      </w:pPr>
      <w:r>
        <w:t>Description of patient and diagnosis</w:t>
      </w:r>
    </w:p>
    <w:p w:rsidR="00D63CC5" w:rsidRDefault="00D63CC5" w:rsidP="00D63CC5">
      <w:pPr>
        <w:pStyle w:val="ListParagraph"/>
        <w:numPr>
          <w:ilvl w:val="1"/>
          <w:numId w:val="1"/>
        </w:numPr>
      </w:pPr>
      <w:r>
        <w:t xml:space="preserve">Melissa Gaines is 36 years old and is 5’3”. She currently weighs 92 lbs and has a UBW of 112 lbs. She reported to have lost tremendous amount of weight. She has been having terrible diarrhea for a while now and does not have the energy to get off the couch. She has history of GI problems on her mom’s side. She has been relying on chicken noodle soup, crackers and sprite for the past few days. She has a college degree and works as a secretary for a hospital administrator but just gave birth 3 months ago so she was on maternity leave. </w:t>
      </w:r>
    </w:p>
    <w:p w:rsidR="00D63CC5" w:rsidRDefault="00D63CC5" w:rsidP="00D63CC5">
      <w:pPr>
        <w:pStyle w:val="ListParagraph"/>
        <w:numPr>
          <w:ilvl w:val="0"/>
          <w:numId w:val="1"/>
        </w:numPr>
      </w:pPr>
      <w:r>
        <w:t>Discussion of the disease</w:t>
      </w:r>
    </w:p>
    <w:p w:rsidR="00714837" w:rsidRDefault="00D63CC5" w:rsidP="00714837">
      <w:pPr>
        <w:pStyle w:val="ListParagraph"/>
        <w:numPr>
          <w:ilvl w:val="1"/>
          <w:numId w:val="1"/>
        </w:numPr>
      </w:pPr>
      <w:r>
        <w:t>Etiology</w:t>
      </w:r>
    </w:p>
    <w:p w:rsidR="00D63CC5" w:rsidRPr="00E70C0F" w:rsidRDefault="00E70C0F" w:rsidP="00714837">
      <w:pPr>
        <w:pStyle w:val="ListParagraph"/>
        <w:numPr>
          <w:ilvl w:val="2"/>
          <w:numId w:val="1"/>
        </w:numPr>
      </w:pPr>
      <w:r w:rsidRPr="00E70C0F">
        <w:t>Celiac disease is an autoimmune condition, which affects an individual for life once there is an onset. Known as</w:t>
      </w:r>
      <w:r w:rsidR="00216620">
        <w:t xml:space="preserve"> gluten-sensitive enteropathy, which is</w:t>
      </w:r>
      <w:r w:rsidRPr="00E70C0F">
        <w:t xml:space="preserve"> condition where a person’s immune system makes antibodies to gluten</w:t>
      </w:r>
      <w:r w:rsidR="00216620">
        <w:t xml:space="preserve">. </w:t>
      </w:r>
      <w:r w:rsidR="00714837" w:rsidRPr="00714837">
        <w:rPr>
          <w:rFonts w:ascii="Times New Roman" w:hAnsi="Times New Roman"/>
        </w:rPr>
        <w:t>AGA is Anti-Gliadin antibodies, which</w:t>
      </w:r>
      <w:r w:rsidR="00714837" w:rsidRPr="00714837">
        <w:rPr>
          <w:rFonts w:ascii="Times New Roman" w:hAnsi="Times New Roman" w:cs="Arial"/>
        </w:rPr>
        <w:t xml:space="preserve"> is part of the gluten protein found in wheat (similar proteins are found in rye, barley, and oats). AGA is an autoantibody directed against the gliadin portion. EMA is </w:t>
      </w:r>
      <w:r w:rsidR="00714837" w:rsidRPr="00714837">
        <w:rPr>
          <w:rFonts w:ascii="Times New Roman" w:hAnsi="Times New Roman" w:cs="Arial"/>
          <w:iCs/>
        </w:rPr>
        <w:t xml:space="preserve">Anti-Endomysial Antibodies. </w:t>
      </w:r>
      <w:r w:rsidR="00714837" w:rsidRPr="00714837">
        <w:rPr>
          <w:rFonts w:ascii="Times New Roman" w:hAnsi="Times New Roman" w:cs="Arial"/>
        </w:rPr>
        <w:t xml:space="preserve">Endomysium is the thin </w:t>
      </w:r>
      <w:hyperlink r:id="rId5" w:history="1">
        <w:r w:rsidR="00714837" w:rsidRPr="00714837">
          <w:rPr>
            <w:rFonts w:ascii="Times New Roman" w:hAnsi="Times New Roman" w:cs="Arial"/>
          </w:rPr>
          <w:t>connective tissue</w:t>
        </w:r>
      </w:hyperlink>
      <w:r w:rsidR="00714837" w:rsidRPr="00714837">
        <w:rPr>
          <w:rFonts w:ascii="Times New Roman" w:hAnsi="Times New Roman" w:cs="Arial"/>
        </w:rPr>
        <w:t xml:space="preserve"> layer that covers individual muscle fibers. </w:t>
      </w:r>
      <w:proofErr w:type="gramStart"/>
      <w:r w:rsidR="00714837" w:rsidRPr="00714837">
        <w:rPr>
          <w:rFonts w:ascii="Times New Roman" w:hAnsi="Times New Roman" w:cs="Arial"/>
        </w:rPr>
        <w:t>Anti-Endomysial antibodies are developed due to the ongoing damage to the intestinal lining.</w:t>
      </w:r>
      <w:proofErr w:type="gramEnd"/>
      <w:r w:rsidR="00714837" w:rsidRPr="00714837">
        <w:rPr>
          <w:rFonts w:ascii="Times New Roman" w:hAnsi="Times New Roman" w:cs="Arial"/>
        </w:rPr>
        <w:t xml:space="preserve"> </w:t>
      </w:r>
      <w:r w:rsidR="00714837">
        <w:rPr>
          <w:rFonts w:ascii="Times New Roman" w:hAnsi="Times New Roman" w:cs="Arial"/>
        </w:rPr>
        <w:t xml:space="preserve">If a person has a family member who has a diagnosis of celiac disease they have a one in four chance of also having celiac disease. Many cases remain undiagnosed because symptoms mimic many other gastrointestinal conditions. Only about 3 percent of people who have celiac disease have been diagnosed. There can be an onset at birth, after surgery, during pregnancy or after infection of any serious trauma. </w:t>
      </w:r>
    </w:p>
    <w:p w:rsidR="00714837" w:rsidRDefault="00D63CC5" w:rsidP="00714837">
      <w:pPr>
        <w:pStyle w:val="ListParagraph"/>
        <w:numPr>
          <w:ilvl w:val="1"/>
          <w:numId w:val="1"/>
        </w:numPr>
      </w:pPr>
      <w:r w:rsidRPr="00E70C0F">
        <w:t>Diagnostic Measures</w:t>
      </w:r>
    </w:p>
    <w:p w:rsidR="00B55958" w:rsidRPr="007217B7" w:rsidRDefault="00714837" w:rsidP="00B55958">
      <w:pPr>
        <w:pStyle w:val="ListParagraph"/>
        <w:numPr>
          <w:ilvl w:val="1"/>
          <w:numId w:val="3"/>
        </w:numPr>
      </w:pPr>
      <w:r w:rsidRPr="00714837">
        <w:t>24-hour stool analysis (100-g fat diet x 3 days)</w:t>
      </w:r>
      <w:r>
        <w:t xml:space="preserve"> is one way of determining celiac disease.</w:t>
      </w:r>
      <w:r w:rsidRPr="00714837">
        <w:rPr>
          <w:b/>
        </w:rPr>
        <w:t xml:space="preserve"> </w:t>
      </w:r>
      <w:r w:rsidRPr="007217B7">
        <w:t xml:space="preserve">The fecal fat test measures the amount of fat you eliminate in your stool. This test shows your doctor if you are digesting or absorbing fat properly. Poor digestion of fat is called fat malabsorption. </w:t>
      </w:r>
      <w:r>
        <w:t>Blood tests are another way of determining the gluten intolerance. T</w:t>
      </w:r>
      <w:r w:rsidRPr="007217B7">
        <w:t>ransglutaminase antibody (tTG), IgA class is the primary test ordered to screen for celiac disease. If the anti-tTG, IgA or IgG test is positive, then the test can also be used to monitor a person with celiac disease and to help evaluate the effectiveness of treatment; antibody levels should fall when gluten is removed from the diet</w:t>
      </w:r>
      <w:r>
        <w:t xml:space="preserve">. </w:t>
      </w:r>
      <w:r w:rsidR="00B55958">
        <w:t>Also, c</w:t>
      </w:r>
      <w:r>
        <w:t>ollecting a sample</w:t>
      </w:r>
      <w:r w:rsidR="00B55958">
        <w:t xml:space="preserve"> of small intestine for testing c</w:t>
      </w:r>
      <w:r w:rsidR="00B55958" w:rsidRPr="007217B7">
        <w:t>heck for damage to the villi. To do this, your doctor inserts a thin, flexible tube (endoscope) through your mouth, esophagus and stomach into your small intestine and takes a sample of intestinal tissue to examine under a microscope.</w:t>
      </w:r>
      <w:r w:rsidR="00B55958">
        <w:t xml:space="preserve"> The last common tests are CBC, ESR, CRP, WBC, and CMP tests. CBX is complete blood count to look for anemia and </w:t>
      </w:r>
    </w:p>
    <w:p w:rsidR="00D63CC5" w:rsidRPr="00E70C0F" w:rsidRDefault="00B55958" w:rsidP="00B55958">
      <w:pPr>
        <w:ind w:left="1080"/>
      </w:pPr>
      <w:r>
        <w:t xml:space="preserve">WBC. ESR is erythrocyte sedimentation rate to evaluate inflammation. CRP is </w:t>
      </w:r>
      <w:proofErr w:type="gramStart"/>
      <w:r>
        <w:t>c-reactive</w:t>
      </w:r>
      <w:proofErr w:type="gramEnd"/>
      <w:r>
        <w:t xml:space="preserve"> protein to evaluate inflammation. CRMP is comprehensive metabolic panel to determine the electrolyte, protein, and calcium levels and to verify the status of the kidney and liver. </w:t>
      </w:r>
    </w:p>
    <w:p w:rsidR="00D63CC5" w:rsidRPr="00E70C0F" w:rsidRDefault="00D63CC5" w:rsidP="00D63CC5">
      <w:pPr>
        <w:pStyle w:val="ListParagraph"/>
        <w:numPr>
          <w:ilvl w:val="1"/>
          <w:numId w:val="1"/>
        </w:numPr>
      </w:pPr>
      <w:r w:rsidRPr="00E70C0F">
        <w:t>Treatment</w:t>
      </w:r>
    </w:p>
    <w:p w:rsidR="00527D03" w:rsidRDefault="00D63CC5" w:rsidP="00D63CC5">
      <w:pPr>
        <w:pStyle w:val="ListParagraph"/>
        <w:numPr>
          <w:ilvl w:val="2"/>
          <w:numId w:val="1"/>
        </w:numPr>
      </w:pPr>
      <w:r w:rsidRPr="00801F85">
        <w:t xml:space="preserve">Medical, surgical and or psychological </w:t>
      </w:r>
      <w:r w:rsidR="005E091C" w:rsidRPr="00801F85">
        <w:t>treatment</w:t>
      </w:r>
    </w:p>
    <w:p w:rsidR="00D63CC5" w:rsidRPr="00801F85" w:rsidRDefault="00527D03" w:rsidP="00527D03">
      <w:pPr>
        <w:pStyle w:val="ListParagraph"/>
        <w:numPr>
          <w:ilvl w:val="3"/>
          <w:numId w:val="1"/>
        </w:numPr>
      </w:pPr>
      <w:r>
        <w:t xml:space="preserve">There are a few medications that </w:t>
      </w:r>
      <w:r w:rsidR="00F10A01">
        <w:t xml:space="preserve">are recommended to </w:t>
      </w:r>
      <w:r w:rsidR="00F10A01" w:rsidRPr="0087426F">
        <w:rPr>
          <w:rFonts w:ascii="Times New Roman" w:hAnsi="Times New Roman"/>
        </w:rPr>
        <w:t xml:space="preserve">help treat celiac disease. Steroids and immune suppressants are used to control intestinal swelling and malabsorption in extreme cases. </w:t>
      </w:r>
      <w:r w:rsidR="0087426F" w:rsidRPr="0087426F">
        <w:rPr>
          <w:rFonts w:ascii="Times New Roman" w:hAnsi="Times New Roman"/>
        </w:rPr>
        <w:t>Vitamin supplements are also suggested to help aid celiac disease. Vitamin B12 is the most common because t</w:t>
      </w:r>
      <w:r w:rsidR="0087426F" w:rsidRPr="0087426F">
        <w:rPr>
          <w:rFonts w:ascii="Times New Roman" w:hAnsi="Times New Roman" w:cs="Verdana"/>
          <w:color w:val="262626"/>
        </w:rPr>
        <w:t>he last part of the small intestine also absorbs vitamin B12, and untreated celiac disease patients often have deficiencies in this vitamin as well as folate. Vitamin B12 deficiency causes diarrhea and/or constipation, fatigue and loss of appetite, and can lead to more serious neurologi</w:t>
      </w:r>
      <w:r w:rsidR="0087426F">
        <w:rPr>
          <w:rFonts w:ascii="Times New Roman" w:hAnsi="Times New Roman" w:cs="Verdana"/>
          <w:color w:val="262626"/>
        </w:rPr>
        <w:t xml:space="preserve">cal symptoms, such as confusion and even depression. Treatment for this condition is non-surgical. </w:t>
      </w:r>
    </w:p>
    <w:p w:rsidR="00801F85" w:rsidRDefault="00D63CC5" w:rsidP="00801F85">
      <w:pPr>
        <w:pStyle w:val="ListParagraph"/>
        <w:numPr>
          <w:ilvl w:val="2"/>
          <w:numId w:val="1"/>
        </w:numPr>
      </w:pPr>
      <w:r w:rsidRPr="00801F85">
        <w:t>Medical Nutrition Therapy</w:t>
      </w:r>
    </w:p>
    <w:p w:rsidR="00D63CC5" w:rsidRPr="00E70C0F" w:rsidRDefault="005E091C" w:rsidP="00801F85">
      <w:pPr>
        <w:pStyle w:val="ListParagraph"/>
        <w:numPr>
          <w:ilvl w:val="3"/>
          <w:numId w:val="1"/>
        </w:numPr>
      </w:pPr>
      <w:r w:rsidRPr="00801F85">
        <w:t xml:space="preserve">Gluten free diet is the best way to treat celiac disease. This means not to consume anything containing wheat, rye or barley. Words such </w:t>
      </w:r>
      <w:r w:rsidR="00801F85" w:rsidRPr="00801F85">
        <w:t xml:space="preserve">a </w:t>
      </w:r>
      <w:r w:rsidRPr="00801F85">
        <w:t>starch, flavoring, emulsifier, hydrolyser, plant protein often mean wheat protein is involved</w:t>
      </w:r>
      <w:r w:rsidR="00801F85">
        <w:t xml:space="preserve">. </w:t>
      </w:r>
      <w:r w:rsidRPr="00801F85">
        <w:t>Corn, potato, rice, soybean, tapioca, arrowroot, carob, buckwheat, millet, amaranth and quinoa are allowed and good carbohydrate sour</w:t>
      </w:r>
      <w:r w:rsidR="00801F85">
        <w:t xml:space="preserve">ces. Another thing to be aware of is cross contamination. For example oats, the factories that produce and pack the oats may have cross contamination and therefore cause flair ups. Alcohol is another item to be aware of. Wines and hard liquor/distilled beverages are gluten free. Beers, ales and malt vinegars that are made from gluten containing gains are not distilled and therefore are not gluten free. </w:t>
      </w:r>
    </w:p>
    <w:p w:rsidR="0087426F" w:rsidRDefault="00D63CC5" w:rsidP="00D63CC5">
      <w:pPr>
        <w:pStyle w:val="ListParagraph"/>
        <w:numPr>
          <w:ilvl w:val="2"/>
          <w:numId w:val="1"/>
        </w:numPr>
      </w:pPr>
      <w:r w:rsidRPr="00E70C0F">
        <w:t>Prognosis</w:t>
      </w:r>
    </w:p>
    <w:p w:rsidR="00D63CC5" w:rsidRPr="00E70C0F" w:rsidRDefault="0087426F" w:rsidP="0087426F">
      <w:pPr>
        <w:pStyle w:val="ListParagraph"/>
        <w:numPr>
          <w:ilvl w:val="3"/>
          <w:numId w:val="1"/>
        </w:numPr>
      </w:pPr>
      <w:r>
        <w:t xml:space="preserve">Education will be an important part of recovery. The patient should be educated on gluten free items and possibly avoiding lactose to make sure they do not have lactose intolerance. With a gluten-free diet regeneration of new epithelial cells in the gut will take place and within 2 years the intestine will be healed. After avoiding gluten, villous height generally returns to normal. It allows food to be properly absorbed, problems of diarrhea to decrease and able to gain weight back. If the patient does not stay on gluten-free diet, there are increases chanced of developing cancer of the intestine. Osteoporosis is may also develop because of poor calcium absorption. </w:t>
      </w:r>
      <w:r w:rsidR="004923D8">
        <w:t xml:space="preserve">Untreated pregnant woman have higher than normal rates of miscarriage and babies born with birth defects, especially neural tube defects, which arise from inadequate amounts of folic acid.  </w:t>
      </w:r>
    </w:p>
    <w:p w:rsidR="00F90305" w:rsidRDefault="00D63CC5" w:rsidP="00671A6A">
      <w:pPr>
        <w:pStyle w:val="ListParagraph"/>
        <w:numPr>
          <w:ilvl w:val="0"/>
          <w:numId w:val="1"/>
        </w:numPr>
      </w:pPr>
      <w:r w:rsidRPr="00E70C0F">
        <w:t>Instruction Materials</w:t>
      </w:r>
    </w:p>
    <w:p w:rsidR="00671A6A" w:rsidRDefault="00F90305" w:rsidP="00F90305">
      <w:pPr>
        <w:pStyle w:val="ListParagraph"/>
      </w:pPr>
      <w:r>
        <w:t xml:space="preserve">See Attached Sheet. </w:t>
      </w:r>
    </w:p>
    <w:p w:rsidR="00AC2238" w:rsidRDefault="00D63CC5" w:rsidP="00D63CC5">
      <w:pPr>
        <w:pStyle w:val="ListParagraph"/>
        <w:numPr>
          <w:ilvl w:val="0"/>
          <w:numId w:val="1"/>
        </w:numPr>
      </w:pPr>
      <w:r>
        <w:t xml:space="preserve">References </w:t>
      </w:r>
    </w:p>
    <w:p w:rsidR="00D63CC5" w:rsidRDefault="00D63CC5" w:rsidP="00AC2238">
      <w:pPr>
        <w:pStyle w:val="ListParagraph"/>
      </w:pPr>
    </w:p>
    <w:p w:rsidR="00AC2238" w:rsidRPr="00351E6A" w:rsidRDefault="00AC2238" w:rsidP="00AC2238">
      <w:pPr>
        <w:pStyle w:val="HTMLPreformatted"/>
        <w:rPr>
          <w:rFonts w:ascii="Times New Roman" w:hAnsi="Times New Roman"/>
          <w:sz w:val="24"/>
        </w:rPr>
      </w:pPr>
      <w:r w:rsidRPr="00351E6A">
        <w:rPr>
          <w:rFonts w:ascii="Times New Roman" w:hAnsi="Times New Roman"/>
          <w:sz w:val="24"/>
        </w:rPr>
        <w:t xml:space="preserve">Abbott Laboratories. (2012). </w:t>
      </w:r>
      <w:r w:rsidRPr="00351E6A">
        <w:rPr>
          <w:rFonts w:ascii="Times New Roman" w:hAnsi="Times New Roman"/>
          <w:i/>
          <w:sz w:val="24"/>
        </w:rPr>
        <w:t>Ensure</w:t>
      </w:r>
      <w:r w:rsidRPr="00351E6A">
        <w:rPr>
          <w:rFonts w:ascii="Times New Roman" w:hAnsi="Times New Roman"/>
          <w:sz w:val="24"/>
        </w:rPr>
        <w:t xml:space="preserve">. Retrieved November 8, 2012, from </w:t>
      </w:r>
    </w:p>
    <w:p w:rsidR="00AC2238" w:rsidRPr="00351E6A" w:rsidRDefault="00AC2238" w:rsidP="00AC2238">
      <w:pPr>
        <w:pStyle w:val="HTMLPreformatted"/>
        <w:rPr>
          <w:rFonts w:ascii="Times New Roman" w:hAnsi="Times New Roman"/>
          <w:sz w:val="24"/>
        </w:rPr>
      </w:pPr>
      <w:r w:rsidRPr="00351E6A">
        <w:rPr>
          <w:rFonts w:ascii="Times New Roman" w:hAnsi="Times New Roman"/>
          <w:sz w:val="24"/>
        </w:rPr>
        <w:tab/>
        <w:t xml:space="preserve">http://ensure.com/ </w:t>
      </w:r>
    </w:p>
    <w:p w:rsidR="00AC2238" w:rsidRPr="00AC2238" w:rsidRDefault="00AC2238" w:rsidP="00AC2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proofErr w:type="gramStart"/>
      <w:r w:rsidRPr="00AC2238">
        <w:rPr>
          <w:rFonts w:ascii="Times New Roman" w:hAnsi="Times New Roman" w:cs="Courier"/>
          <w:szCs w:val="20"/>
        </w:rPr>
        <w:t>American Association for Clinical Chemistry.</w:t>
      </w:r>
      <w:proofErr w:type="gramEnd"/>
      <w:r w:rsidRPr="00AC2238">
        <w:rPr>
          <w:rFonts w:ascii="Times New Roman" w:hAnsi="Times New Roman" w:cs="Courier"/>
          <w:szCs w:val="20"/>
        </w:rPr>
        <w:t xml:space="preserve"> (2009, September 22). </w:t>
      </w:r>
      <w:r w:rsidRPr="00AC2238">
        <w:rPr>
          <w:rFonts w:ascii="Times New Roman" w:hAnsi="Times New Roman" w:cs="Courier"/>
          <w:i/>
          <w:szCs w:val="20"/>
        </w:rPr>
        <w:t>Albumin</w:t>
      </w:r>
      <w:r w:rsidRPr="00AC2238">
        <w:rPr>
          <w:rFonts w:ascii="Times New Roman" w:hAnsi="Times New Roman" w:cs="Courier"/>
          <w:szCs w:val="20"/>
        </w:rPr>
        <w:t xml:space="preserve">. Retrieved </w:t>
      </w:r>
    </w:p>
    <w:p w:rsidR="00AC2238" w:rsidRPr="00AC2238" w:rsidRDefault="00AC2238" w:rsidP="00AC223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AC2238">
        <w:rPr>
          <w:rFonts w:ascii="Times New Roman" w:hAnsi="Times New Roman" w:cs="Courier"/>
          <w:szCs w:val="20"/>
        </w:rPr>
        <w:t xml:space="preserve">November 8, 2012, from http://www.labtestsonline.org/understanding/analytes/albumin/test.html </w:t>
      </w:r>
    </w:p>
    <w:p w:rsidR="00AC2238" w:rsidRPr="00AC2238" w:rsidRDefault="00AC2238" w:rsidP="00AC2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i/>
          <w:szCs w:val="20"/>
        </w:rPr>
      </w:pPr>
      <w:bookmarkStart w:id="0" w:name="OLE_LINK1"/>
      <w:proofErr w:type="gramStart"/>
      <w:r w:rsidRPr="00AC2238">
        <w:rPr>
          <w:rFonts w:ascii="Times New Roman" w:hAnsi="Times New Roman" w:cs="Courier"/>
          <w:szCs w:val="20"/>
        </w:rPr>
        <w:t>American Association for Clinical Chemistry.</w:t>
      </w:r>
      <w:proofErr w:type="gramEnd"/>
      <w:r w:rsidRPr="00AC2238">
        <w:rPr>
          <w:rFonts w:ascii="Times New Roman" w:hAnsi="Times New Roman" w:cs="Courier"/>
          <w:szCs w:val="20"/>
        </w:rPr>
        <w:t xml:space="preserve"> (2009, May 16). </w:t>
      </w:r>
      <w:r w:rsidRPr="00AC2238">
        <w:rPr>
          <w:rFonts w:ascii="Times New Roman" w:hAnsi="Times New Roman" w:cs="Courier"/>
          <w:i/>
          <w:szCs w:val="20"/>
        </w:rPr>
        <w:t xml:space="preserve">Total protein and A/G </w:t>
      </w:r>
    </w:p>
    <w:p w:rsidR="00AC2238" w:rsidRPr="00AC2238" w:rsidRDefault="00AC2238" w:rsidP="003A72C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AC2238">
        <w:rPr>
          <w:rFonts w:ascii="Times New Roman" w:hAnsi="Times New Roman" w:cs="Courier"/>
          <w:i/>
          <w:szCs w:val="20"/>
        </w:rPr>
        <w:tab/>
      </w:r>
      <w:proofErr w:type="gramStart"/>
      <w:r w:rsidRPr="00AC2238">
        <w:rPr>
          <w:rFonts w:ascii="Times New Roman" w:hAnsi="Times New Roman" w:cs="Courier"/>
          <w:i/>
          <w:szCs w:val="20"/>
        </w:rPr>
        <w:t>ratio</w:t>
      </w:r>
      <w:proofErr w:type="gramEnd"/>
      <w:r w:rsidRPr="00AC2238">
        <w:rPr>
          <w:rFonts w:ascii="Times New Roman" w:hAnsi="Times New Roman" w:cs="Courier"/>
          <w:szCs w:val="20"/>
        </w:rPr>
        <w:t xml:space="preserve">. Retrieved November 9, 2012, from </w:t>
      </w:r>
      <w:r w:rsidRPr="00AC2238">
        <w:rPr>
          <w:rFonts w:ascii="Times New Roman" w:hAnsi="Times New Roman" w:cs="Courier"/>
          <w:szCs w:val="20"/>
        </w:rPr>
        <w:tab/>
        <w:t>http://www.labtestsonline.org/understanding/analytes/tp/test.htm</w:t>
      </w:r>
    </w:p>
    <w:bookmarkEnd w:id="0"/>
    <w:p w:rsidR="003A72CB" w:rsidRDefault="00AC2238" w:rsidP="003A72CB">
      <w:pPr>
        <w:pStyle w:val="HTMLPreformatted"/>
        <w:widowControl w:val="0"/>
        <w:suppressAutoHyphens/>
        <w:spacing w:before="2" w:after="2"/>
        <w:rPr>
          <w:rFonts w:ascii="Times New Roman" w:hAnsi="Times New Roman" w:cs="Times New Roman"/>
          <w:i/>
          <w:sz w:val="24"/>
          <w:szCs w:val="24"/>
        </w:rPr>
      </w:pPr>
      <w:proofErr w:type="gramStart"/>
      <w:r w:rsidRPr="00351E6A">
        <w:rPr>
          <w:rFonts w:ascii="Times New Roman" w:hAnsi="Times New Roman" w:cs="Times New Roman"/>
          <w:sz w:val="24"/>
          <w:szCs w:val="24"/>
        </w:rPr>
        <w:t>American Dietetic Association.</w:t>
      </w:r>
      <w:proofErr w:type="gramEnd"/>
      <w:r w:rsidRPr="00351E6A">
        <w:rPr>
          <w:rFonts w:ascii="Times New Roman" w:hAnsi="Times New Roman" w:cs="Times New Roman"/>
          <w:sz w:val="24"/>
          <w:szCs w:val="24"/>
        </w:rPr>
        <w:t xml:space="preserve"> (2008). </w:t>
      </w:r>
      <w:r w:rsidRPr="00351E6A">
        <w:rPr>
          <w:rFonts w:ascii="Times New Roman" w:hAnsi="Times New Roman" w:cs="Times New Roman"/>
          <w:i/>
          <w:sz w:val="24"/>
          <w:szCs w:val="24"/>
        </w:rPr>
        <w:t xml:space="preserve">International dietetics and nutrition terminology </w:t>
      </w:r>
    </w:p>
    <w:p w:rsidR="00AC2238" w:rsidRPr="00351E6A" w:rsidRDefault="003A72CB" w:rsidP="003A72CB">
      <w:pPr>
        <w:pStyle w:val="HTMLPreformatted"/>
        <w:widowControl w:val="0"/>
        <w:suppressAutoHyphens/>
        <w:spacing w:before="2" w:after="2"/>
        <w:ind w:left="720"/>
        <w:rPr>
          <w:rFonts w:ascii="Times New Roman" w:hAnsi="Times New Roman" w:cs="Times New Roman"/>
          <w:sz w:val="24"/>
          <w:szCs w:val="24"/>
        </w:rPr>
      </w:pPr>
      <w:r>
        <w:rPr>
          <w:rFonts w:ascii="Times New Roman" w:hAnsi="Times New Roman" w:cs="Times New Roman"/>
          <w:i/>
          <w:sz w:val="24"/>
          <w:szCs w:val="24"/>
        </w:rPr>
        <w:tab/>
      </w:r>
      <w:r w:rsidR="00AC2238" w:rsidRPr="00351E6A">
        <w:rPr>
          <w:rFonts w:ascii="Times New Roman" w:hAnsi="Times New Roman" w:cs="Times New Roman"/>
          <w:i/>
          <w:sz w:val="24"/>
          <w:szCs w:val="24"/>
        </w:rPr>
        <w:t>(IDNT) reference manual: Standardized language for the nutrition care process</w:t>
      </w:r>
      <w:r w:rsidR="00AC2238" w:rsidRPr="00351E6A">
        <w:rPr>
          <w:rFonts w:ascii="Times New Roman" w:hAnsi="Times New Roman" w:cs="Times New Roman"/>
          <w:sz w:val="24"/>
          <w:szCs w:val="24"/>
        </w:rPr>
        <w:t xml:space="preserve"> (2nd ed.)</w:t>
      </w:r>
    </w:p>
    <w:p w:rsidR="003A72CB" w:rsidRDefault="00AC2238" w:rsidP="003A72CB">
      <w:pPr>
        <w:pStyle w:val="HTMLPreformatted"/>
        <w:widowControl w:val="0"/>
        <w:suppressAutoHyphens/>
        <w:spacing w:before="2" w:after="2"/>
        <w:rPr>
          <w:rFonts w:ascii="Times New Roman" w:hAnsi="Times New Roman"/>
          <w:i/>
          <w:sz w:val="24"/>
        </w:rPr>
      </w:pPr>
      <w:proofErr w:type="gramStart"/>
      <w:r w:rsidRPr="00351E6A">
        <w:rPr>
          <w:rFonts w:ascii="Times New Roman" w:hAnsi="Times New Roman"/>
          <w:sz w:val="24"/>
        </w:rPr>
        <w:t>Byrd-Bredbenner, C., Beshgetoor, D., Moe, G., &amp; Berning, J. (2007).</w:t>
      </w:r>
      <w:proofErr w:type="gramEnd"/>
      <w:r w:rsidRPr="00351E6A">
        <w:rPr>
          <w:rFonts w:ascii="Times New Roman" w:hAnsi="Times New Roman"/>
          <w:sz w:val="24"/>
        </w:rPr>
        <w:t xml:space="preserve"> </w:t>
      </w:r>
      <w:r w:rsidRPr="00351E6A">
        <w:rPr>
          <w:rFonts w:ascii="Times New Roman" w:hAnsi="Times New Roman"/>
          <w:i/>
          <w:sz w:val="24"/>
        </w:rPr>
        <w:t xml:space="preserve">Wardlaw's </w:t>
      </w:r>
    </w:p>
    <w:p w:rsidR="003A72CB" w:rsidRPr="003A72CB" w:rsidRDefault="00AC2238" w:rsidP="003A72CB">
      <w:pPr>
        <w:pStyle w:val="HTMLPreformatted"/>
        <w:widowControl w:val="0"/>
        <w:suppressAutoHyphens/>
        <w:spacing w:before="2" w:after="2"/>
        <w:ind w:left="360"/>
        <w:rPr>
          <w:rFonts w:ascii="Times New Roman" w:hAnsi="Times New Roman" w:cs="Times New Roman"/>
          <w:i/>
          <w:sz w:val="24"/>
          <w:szCs w:val="24"/>
        </w:rPr>
      </w:pPr>
      <w:proofErr w:type="gramStart"/>
      <w:r w:rsidRPr="00351E6A">
        <w:rPr>
          <w:rFonts w:ascii="Times New Roman" w:hAnsi="Times New Roman"/>
          <w:i/>
          <w:sz w:val="24"/>
        </w:rPr>
        <w:t>perspectives</w:t>
      </w:r>
      <w:proofErr w:type="gramEnd"/>
      <w:r w:rsidRPr="00351E6A">
        <w:rPr>
          <w:rFonts w:ascii="Times New Roman" w:hAnsi="Times New Roman"/>
          <w:i/>
          <w:sz w:val="24"/>
        </w:rPr>
        <w:t xml:space="preserve"> in </w:t>
      </w:r>
      <w:r w:rsidRPr="003A72CB">
        <w:rPr>
          <w:rFonts w:ascii="Times New Roman" w:hAnsi="Times New Roman"/>
          <w:i/>
        </w:rPr>
        <w:t>nutrition</w:t>
      </w:r>
      <w:r w:rsidRPr="003A72CB">
        <w:rPr>
          <w:rFonts w:ascii="Times New Roman" w:hAnsi="Times New Roman"/>
        </w:rPr>
        <w:t xml:space="preserve"> (8th ed.). New York, NY: McGraw-Hill. (Original work published 1990) </w:t>
      </w:r>
    </w:p>
    <w:p w:rsidR="00AC2238" w:rsidRPr="003A72CB" w:rsidRDefault="00AC2238" w:rsidP="003A7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Times New Roman" w:hAnsi="Times New Roman" w:cs="Courier"/>
          <w:szCs w:val="20"/>
        </w:rPr>
      </w:pPr>
      <w:proofErr w:type="gramStart"/>
      <w:r w:rsidRPr="003A72CB">
        <w:rPr>
          <w:rFonts w:ascii="Times New Roman" w:hAnsi="Times New Roman" w:cs="Courier"/>
          <w:szCs w:val="20"/>
        </w:rPr>
        <w:t>Celiac Disease Foundation.</w:t>
      </w:r>
      <w:proofErr w:type="gramEnd"/>
      <w:r w:rsidRPr="003A72CB">
        <w:rPr>
          <w:rFonts w:ascii="Times New Roman" w:hAnsi="Times New Roman" w:cs="Courier"/>
          <w:szCs w:val="20"/>
        </w:rPr>
        <w:t xml:space="preserve"> (2011). </w:t>
      </w:r>
      <w:r w:rsidRPr="003A72CB">
        <w:rPr>
          <w:rFonts w:ascii="Times New Roman" w:hAnsi="Times New Roman" w:cs="Courier"/>
          <w:i/>
          <w:szCs w:val="20"/>
        </w:rPr>
        <w:t>Celiac disease symptoms</w:t>
      </w:r>
      <w:r w:rsidRPr="003A72CB">
        <w:rPr>
          <w:rFonts w:ascii="Times New Roman" w:hAnsi="Times New Roman" w:cs="Courier"/>
          <w:szCs w:val="20"/>
        </w:rPr>
        <w:t xml:space="preserve">. Retrieved November 9, </w:t>
      </w:r>
    </w:p>
    <w:p w:rsidR="00AC2238" w:rsidRPr="003A72CB" w:rsidRDefault="003A72CB" w:rsidP="003A7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Times New Roman" w:hAnsi="Times New Roman" w:cs="Courier"/>
          <w:szCs w:val="20"/>
        </w:rPr>
      </w:pPr>
      <w:r>
        <w:rPr>
          <w:rFonts w:ascii="Times New Roman" w:hAnsi="Times New Roman" w:cs="Courier"/>
          <w:szCs w:val="20"/>
        </w:rPr>
        <w:tab/>
      </w:r>
      <w:r w:rsidR="00AC2238" w:rsidRPr="003A72CB">
        <w:rPr>
          <w:rFonts w:ascii="Times New Roman" w:hAnsi="Times New Roman" w:cs="Courier"/>
          <w:szCs w:val="20"/>
        </w:rPr>
        <w:t xml:space="preserve">2012, from </w:t>
      </w:r>
      <w:r w:rsidR="00AC2238" w:rsidRPr="003A72CB">
        <w:rPr>
          <w:rFonts w:ascii="Times New Roman" w:hAnsi="Times New Roman"/>
        </w:rPr>
        <w:t xml:space="preserve">http://www.celiac.org/ </w:t>
      </w:r>
    </w:p>
    <w:p w:rsidR="00AC2238" w:rsidRPr="003A72CB" w:rsidRDefault="00AC2238" w:rsidP="003A7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Times New Roman" w:hAnsi="Times New Roman" w:cs="Courier"/>
          <w:szCs w:val="20"/>
        </w:rPr>
      </w:pPr>
      <w:proofErr w:type="gramStart"/>
      <w:r w:rsidRPr="003A72CB">
        <w:rPr>
          <w:rFonts w:ascii="Times New Roman" w:hAnsi="Times New Roman" w:cs="Courier"/>
          <w:szCs w:val="20"/>
        </w:rPr>
        <w:t>Celiac Sprue Association.</w:t>
      </w:r>
      <w:proofErr w:type="gramEnd"/>
      <w:r w:rsidRPr="003A72CB">
        <w:rPr>
          <w:rFonts w:ascii="Times New Roman" w:hAnsi="Times New Roman" w:cs="Courier"/>
          <w:szCs w:val="20"/>
        </w:rPr>
        <w:t xml:space="preserve"> (2008). </w:t>
      </w:r>
      <w:r w:rsidRPr="003A72CB">
        <w:rPr>
          <w:rFonts w:ascii="Times New Roman" w:hAnsi="Times New Roman" w:cs="Courier"/>
          <w:i/>
          <w:szCs w:val="20"/>
        </w:rPr>
        <w:t>Symptoms of celiac disease</w:t>
      </w:r>
      <w:r w:rsidRPr="003A72CB">
        <w:rPr>
          <w:rFonts w:ascii="Times New Roman" w:hAnsi="Times New Roman" w:cs="Courier"/>
          <w:szCs w:val="20"/>
        </w:rPr>
        <w:t xml:space="preserve">. Retrieved November 7, </w:t>
      </w:r>
    </w:p>
    <w:p w:rsidR="00AC2238" w:rsidRPr="00AC2238" w:rsidRDefault="00AC2238" w:rsidP="003A72C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Times New Roman" w:hAnsi="Times New Roman" w:cs="Courier"/>
          <w:szCs w:val="20"/>
        </w:rPr>
      </w:pPr>
      <w:r w:rsidRPr="00AC2238">
        <w:rPr>
          <w:rFonts w:ascii="Times New Roman" w:hAnsi="Times New Roman" w:cs="Courier"/>
          <w:szCs w:val="20"/>
        </w:rPr>
        <w:t xml:space="preserve">2012, from http://www.csaceliacs.org/celiac_symptoms.php </w:t>
      </w:r>
    </w:p>
    <w:p w:rsidR="00AC2238" w:rsidRPr="00351E6A" w:rsidRDefault="00AC2238" w:rsidP="003A72CB">
      <w:pPr>
        <w:pStyle w:val="HTMLPreformatted"/>
        <w:widowControl w:val="0"/>
        <w:suppressAutoHyphens/>
        <w:rPr>
          <w:rFonts w:ascii="Times New Roman" w:hAnsi="Times New Roman" w:cs="Times New Roman"/>
          <w:color w:val="000000"/>
          <w:sz w:val="24"/>
          <w:szCs w:val="24"/>
        </w:rPr>
      </w:pPr>
      <w:r w:rsidRPr="00351E6A">
        <w:rPr>
          <w:rFonts w:ascii="Times New Roman" w:hAnsi="Times New Roman" w:cs="Times New Roman"/>
          <w:color w:val="000000"/>
          <w:sz w:val="24"/>
          <w:szCs w:val="24"/>
        </w:rPr>
        <w:t xml:space="preserve">Mahan, L. K., &amp; Escott-Stump, S. (Eds.). (2008). </w:t>
      </w:r>
      <w:r w:rsidRPr="00351E6A">
        <w:rPr>
          <w:rFonts w:ascii="Times New Roman" w:hAnsi="Times New Roman" w:cs="Times New Roman"/>
          <w:i/>
          <w:iCs/>
          <w:color w:val="000000"/>
          <w:sz w:val="24"/>
          <w:szCs w:val="24"/>
        </w:rPr>
        <w:t>Krause's food &amp; nutrition therapy</w:t>
      </w:r>
      <w:r w:rsidRPr="00351E6A">
        <w:rPr>
          <w:rFonts w:ascii="Times New Roman" w:hAnsi="Times New Roman" w:cs="Times New Roman"/>
          <w:color w:val="000000"/>
          <w:sz w:val="24"/>
          <w:szCs w:val="24"/>
        </w:rPr>
        <w:t xml:space="preserve"> (12th </w:t>
      </w:r>
      <w:r w:rsidRPr="00351E6A">
        <w:rPr>
          <w:rFonts w:ascii="Times New Roman" w:hAnsi="Times New Roman" w:cs="Times New Roman"/>
          <w:color w:val="000000"/>
          <w:sz w:val="24"/>
          <w:szCs w:val="24"/>
        </w:rPr>
        <w:tab/>
        <w:t xml:space="preserve">ed., pp. 384-385, 400-401, 416, 421-424, 465, 557, 679-687, 1215, 1234). </w:t>
      </w:r>
    </w:p>
    <w:p w:rsidR="00AC2238" w:rsidRPr="00351E6A" w:rsidRDefault="003A72CB" w:rsidP="003A72CB">
      <w:pPr>
        <w:pStyle w:val="HTMLPreformatted"/>
        <w:widowControl w:val="0"/>
        <w:suppressAutoHyphens/>
        <w:ind w:left="720"/>
        <w:rPr>
          <w:rFonts w:ascii="Times New Roman" w:hAnsi="Times New Roman" w:cs="Times New Roman"/>
          <w:color w:val="000000"/>
          <w:sz w:val="24"/>
          <w:szCs w:val="24"/>
        </w:rPr>
      </w:pPr>
      <w:r>
        <w:rPr>
          <w:rFonts w:ascii="Times New Roman" w:hAnsi="Times New Roman" w:cs="Times New Roman"/>
          <w:color w:val="000000"/>
          <w:sz w:val="24"/>
          <w:szCs w:val="24"/>
        </w:rPr>
        <w:tab/>
      </w:r>
      <w:r w:rsidR="00AC2238" w:rsidRPr="00351E6A">
        <w:rPr>
          <w:rFonts w:ascii="Times New Roman" w:hAnsi="Times New Roman" w:cs="Times New Roman"/>
          <w:color w:val="000000"/>
          <w:sz w:val="24"/>
          <w:szCs w:val="24"/>
        </w:rPr>
        <w:t xml:space="preserve">St. Louis, MI: Saunders. </w:t>
      </w:r>
    </w:p>
    <w:p w:rsidR="00AC2238" w:rsidRPr="003A72CB" w:rsidRDefault="00AC2238" w:rsidP="003A7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3A72CB">
        <w:rPr>
          <w:rFonts w:ascii="Times New Roman" w:hAnsi="Times New Roman"/>
        </w:rPr>
        <w:t xml:space="preserve">Mifflin, M. D., St Jeor, S. T., Hill, L. A., Scott, B. J., Daugherty, S. A., &amp; Koh, Y. O. </w:t>
      </w:r>
    </w:p>
    <w:p w:rsidR="00AC2238" w:rsidRPr="00AC2238" w:rsidRDefault="00AC2238" w:rsidP="003A72C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AC2238">
        <w:rPr>
          <w:rFonts w:ascii="Times New Roman" w:hAnsi="Times New Roman"/>
        </w:rPr>
        <w:t>(1990)</w:t>
      </w:r>
      <w:proofErr w:type="gramStart"/>
      <w:r w:rsidRPr="00AC2238">
        <w:rPr>
          <w:rFonts w:ascii="Times New Roman" w:hAnsi="Times New Roman"/>
        </w:rPr>
        <w:t>. A new predictive equation for resting energy expenditure in healthy individuals.</w:t>
      </w:r>
      <w:proofErr w:type="gramEnd"/>
      <w:r w:rsidRPr="00AC2238">
        <w:rPr>
          <w:rFonts w:ascii="Times New Roman" w:hAnsi="Times New Roman"/>
        </w:rPr>
        <w:t xml:space="preserve"> American Journal of Clinical Nutrition, 51, 241-247. Retrieved from http://www.ajcn.org/cgi/reprint/51/2/241</w:t>
      </w:r>
    </w:p>
    <w:p w:rsidR="00AC2238" w:rsidRPr="003A72CB" w:rsidRDefault="00AC2238" w:rsidP="003A7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Times New Roman" w:hAnsi="Times New Roman" w:cs="Courier"/>
          <w:szCs w:val="20"/>
        </w:rPr>
      </w:pPr>
      <w:r w:rsidRPr="003A72CB">
        <w:rPr>
          <w:rFonts w:ascii="Times New Roman" w:hAnsi="Times New Roman" w:cs="Courier"/>
          <w:szCs w:val="20"/>
        </w:rPr>
        <w:t xml:space="preserve">National Institute of Diabetes and Digestive and Kidney Diseases (NIDDK), &amp; National </w:t>
      </w:r>
    </w:p>
    <w:p w:rsidR="00AC2238" w:rsidRPr="003A72CB" w:rsidRDefault="003A72CB" w:rsidP="003A7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Times New Roman" w:hAnsi="Times New Roman" w:cs="Courier"/>
          <w:szCs w:val="20"/>
        </w:rPr>
      </w:pPr>
      <w:r>
        <w:rPr>
          <w:rFonts w:ascii="Times New Roman" w:hAnsi="Times New Roman" w:cs="Courier"/>
          <w:szCs w:val="20"/>
        </w:rPr>
        <w:tab/>
      </w:r>
      <w:proofErr w:type="gramStart"/>
      <w:r>
        <w:rPr>
          <w:rFonts w:ascii="Times New Roman" w:hAnsi="Times New Roman" w:cs="Courier"/>
          <w:szCs w:val="20"/>
        </w:rPr>
        <w:t xml:space="preserve">Institute </w:t>
      </w:r>
      <w:r w:rsidR="00AC2238" w:rsidRPr="003A72CB">
        <w:rPr>
          <w:rFonts w:ascii="Times New Roman" w:hAnsi="Times New Roman" w:cs="Courier"/>
          <w:szCs w:val="20"/>
        </w:rPr>
        <w:t>of Health.</w:t>
      </w:r>
      <w:proofErr w:type="gramEnd"/>
      <w:r w:rsidR="00AC2238" w:rsidRPr="003A72CB">
        <w:rPr>
          <w:rFonts w:ascii="Times New Roman" w:hAnsi="Times New Roman" w:cs="Courier"/>
          <w:szCs w:val="20"/>
        </w:rPr>
        <w:t xml:space="preserve"> (2008, September). </w:t>
      </w:r>
      <w:r w:rsidR="00AC2238" w:rsidRPr="003A72CB">
        <w:rPr>
          <w:rFonts w:ascii="Times New Roman" w:hAnsi="Times New Roman" w:cs="Courier"/>
          <w:i/>
          <w:szCs w:val="20"/>
        </w:rPr>
        <w:t>Celiac disease</w:t>
      </w:r>
      <w:r w:rsidR="00AC2238" w:rsidRPr="003A72CB">
        <w:rPr>
          <w:rFonts w:ascii="Times New Roman" w:hAnsi="Times New Roman" w:cs="Courier"/>
          <w:szCs w:val="20"/>
        </w:rPr>
        <w:t xml:space="preserve">. Retrieved November 7, </w:t>
      </w:r>
    </w:p>
    <w:p w:rsidR="00AC2238" w:rsidRPr="003A72CB" w:rsidRDefault="003A72CB" w:rsidP="003A7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Times New Roman" w:hAnsi="Times New Roman" w:cs="Courier"/>
          <w:szCs w:val="20"/>
        </w:rPr>
      </w:pPr>
      <w:r>
        <w:rPr>
          <w:rFonts w:ascii="Times New Roman" w:hAnsi="Times New Roman" w:cs="Courier"/>
          <w:szCs w:val="20"/>
        </w:rPr>
        <w:tab/>
      </w:r>
      <w:r w:rsidR="00AC2238" w:rsidRPr="003A72CB">
        <w:rPr>
          <w:rFonts w:ascii="Times New Roman" w:hAnsi="Times New Roman" w:cs="Courier"/>
          <w:szCs w:val="20"/>
        </w:rPr>
        <w:t xml:space="preserve">2012, from http://digestive.niddk.nih.gov/ddiseases/pubs/celiac/ </w:t>
      </w:r>
    </w:p>
    <w:p w:rsidR="00AC2238" w:rsidRPr="003A72CB" w:rsidRDefault="00AC2238" w:rsidP="003A72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i/>
        </w:rPr>
      </w:pPr>
      <w:r w:rsidRPr="003A72CB">
        <w:rPr>
          <w:rFonts w:ascii="Times New Roman" w:hAnsi="Times New Roman"/>
        </w:rPr>
        <w:t xml:space="preserve">Nelms, M. N., Roth, S. L., &amp; Lacey, K. (2009). </w:t>
      </w:r>
      <w:r w:rsidRPr="003A72CB">
        <w:rPr>
          <w:rFonts w:ascii="Times New Roman" w:hAnsi="Times New Roman"/>
          <w:i/>
        </w:rPr>
        <w:t xml:space="preserve">Medical nutrition therapy: A case </w:t>
      </w:r>
      <w:r w:rsidRPr="003A72CB">
        <w:rPr>
          <w:rFonts w:ascii="Times New Roman" w:hAnsi="Times New Roman"/>
          <w:i/>
        </w:rPr>
        <w:tab/>
        <w:t>study approach</w:t>
      </w:r>
      <w:r w:rsidRPr="003A72CB">
        <w:rPr>
          <w:rFonts w:ascii="Times New Roman" w:hAnsi="Times New Roman"/>
        </w:rPr>
        <w:t xml:space="preserve"> (2nd ed.). Belmont, CA: Wadsworth Cengage Learning. </w:t>
      </w:r>
    </w:p>
    <w:p w:rsidR="00AC2238" w:rsidRPr="003A72CB" w:rsidRDefault="00AC2238" w:rsidP="003A72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i/>
        </w:rPr>
      </w:pPr>
      <w:r w:rsidRPr="003A72CB">
        <w:rPr>
          <w:rFonts w:ascii="Times New Roman" w:hAnsi="Times New Roman"/>
        </w:rPr>
        <w:t xml:space="preserve">USDA Center for Nutrition Policy and Promotion. (2010, September 28). </w:t>
      </w:r>
      <w:r w:rsidRPr="003A72CB">
        <w:rPr>
          <w:rFonts w:ascii="Times New Roman" w:hAnsi="Times New Roman"/>
          <w:i/>
        </w:rPr>
        <w:t xml:space="preserve">MyPyramid </w:t>
      </w:r>
    </w:p>
    <w:p w:rsidR="00AC2238" w:rsidRPr="00AC2238" w:rsidRDefault="00AC2238" w:rsidP="003A72CB">
      <w:pPr>
        <w:pStyle w:val="ListParagraph"/>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rPr>
      </w:pPr>
      <w:proofErr w:type="gramStart"/>
      <w:r w:rsidRPr="00AC2238">
        <w:rPr>
          <w:rFonts w:ascii="Times New Roman" w:hAnsi="Times New Roman"/>
          <w:i/>
        </w:rPr>
        <w:t>tracker</w:t>
      </w:r>
      <w:proofErr w:type="gramEnd"/>
      <w:r w:rsidRPr="00AC2238">
        <w:rPr>
          <w:rFonts w:ascii="Times New Roman" w:hAnsi="Times New Roman"/>
        </w:rPr>
        <w:t xml:space="preserve">. Retrieved November 9, 2012, from http://www.mypyramid.gov/ </w:t>
      </w:r>
    </w:p>
    <w:p w:rsidR="00AC2238" w:rsidRPr="00351E6A" w:rsidRDefault="00AC2238" w:rsidP="003A72CB">
      <w:pPr>
        <w:pStyle w:val="HTMLPreformatted"/>
        <w:spacing w:before="2" w:after="2"/>
        <w:rPr>
          <w:rFonts w:ascii="Times New Roman" w:hAnsi="Times New Roman"/>
          <w:i/>
          <w:sz w:val="24"/>
        </w:rPr>
      </w:pPr>
      <w:proofErr w:type="gramStart"/>
      <w:r w:rsidRPr="00351E6A">
        <w:rPr>
          <w:rFonts w:ascii="Times New Roman" w:hAnsi="Times New Roman"/>
          <w:sz w:val="24"/>
        </w:rPr>
        <w:t>The University of Chicago Celiac Disease Center.</w:t>
      </w:r>
      <w:proofErr w:type="gramEnd"/>
      <w:r w:rsidRPr="00351E6A">
        <w:rPr>
          <w:rFonts w:ascii="Times New Roman" w:hAnsi="Times New Roman"/>
          <w:sz w:val="24"/>
        </w:rPr>
        <w:t xml:space="preserve"> (</w:t>
      </w:r>
      <w:proofErr w:type="gramStart"/>
      <w:r w:rsidRPr="00351E6A">
        <w:rPr>
          <w:rFonts w:ascii="Times New Roman" w:hAnsi="Times New Roman"/>
          <w:sz w:val="24"/>
        </w:rPr>
        <w:t>n</w:t>
      </w:r>
      <w:proofErr w:type="gramEnd"/>
      <w:r w:rsidRPr="00351E6A">
        <w:rPr>
          <w:rFonts w:ascii="Times New Roman" w:hAnsi="Times New Roman"/>
          <w:sz w:val="24"/>
        </w:rPr>
        <w:t xml:space="preserve">.d.). </w:t>
      </w:r>
      <w:r w:rsidRPr="00351E6A">
        <w:rPr>
          <w:rFonts w:ascii="Times New Roman" w:hAnsi="Times New Roman"/>
          <w:i/>
          <w:sz w:val="24"/>
        </w:rPr>
        <w:t xml:space="preserve">The University of Chicago </w:t>
      </w:r>
    </w:p>
    <w:p w:rsidR="00AC2238" w:rsidRPr="00351E6A" w:rsidRDefault="00AC2238" w:rsidP="003A72CB">
      <w:pPr>
        <w:pStyle w:val="HTMLPreformatted"/>
        <w:spacing w:before="2" w:after="2"/>
        <w:ind w:left="720"/>
        <w:rPr>
          <w:rFonts w:ascii="Times New Roman" w:hAnsi="Times New Roman"/>
          <w:sz w:val="24"/>
        </w:rPr>
      </w:pPr>
      <w:proofErr w:type="gramStart"/>
      <w:r w:rsidRPr="00351E6A">
        <w:rPr>
          <w:rFonts w:ascii="Times New Roman" w:hAnsi="Times New Roman"/>
          <w:i/>
          <w:sz w:val="24"/>
        </w:rPr>
        <w:t>celiac</w:t>
      </w:r>
      <w:proofErr w:type="gramEnd"/>
      <w:r w:rsidRPr="00351E6A">
        <w:rPr>
          <w:rFonts w:ascii="Times New Roman" w:hAnsi="Times New Roman"/>
          <w:i/>
          <w:sz w:val="24"/>
        </w:rPr>
        <w:t xml:space="preserve"> disease center</w:t>
      </w:r>
      <w:r w:rsidRPr="00351E6A">
        <w:rPr>
          <w:rFonts w:ascii="Times New Roman" w:hAnsi="Times New Roman"/>
          <w:sz w:val="24"/>
        </w:rPr>
        <w:t xml:space="preserve">. Retrieved November 8, 2012, from http://www.celiacdisease.net/ </w:t>
      </w:r>
    </w:p>
    <w:p w:rsidR="00AC2238" w:rsidRPr="003A72CB" w:rsidRDefault="00AC2238" w:rsidP="003A72CB">
      <w:pPr>
        <w:widowControl w:val="0"/>
        <w:suppressAutoHyphens/>
        <w:rPr>
          <w:rFonts w:ascii="Times New Roman" w:hAnsi="Times New Roman"/>
          <w:i/>
        </w:rPr>
      </w:pPr>
      <w:proofErr w:type="gramStart"/>
      <w:r w:rsidRPr="003A72CB">
        <w:rPr>
          <w:rFonts w:ascii="Times New Roman" w:hAnsi="Times New Roman"/>
        </w:rPr>
        <w:t>The Writing Lab, The OWL at Purdue, &amp; Purdue University.</w:t>
      </w:r>
      <w:proofErr w:type="gramEnd"/>
      <w:r w:rsidRPr="003A72CB">
        <w:rPr>
          <w:rFonts w:ascii="Times New Roman" w:hAnsi="Times New Roman"/>
        </w:rPr>
        <w:t xml:space="preserve"> (1995). </w:t>
      </w:r>
      <w:r w:rsidRPr="003A72CB">
        <w:rPr>
          <w:rFonts w:ascii="Times New Roman" w:hAnsi="Times New Roman"/>
          <w:i/>
        </w:rPr>
        <w:t xml:space="preserve">Owl Purdue online </w:t>
      </w:r>
    </w:p>
    <w:p w:rsidR="00AC2238" w:rsidRPr="00AC2238" w:rsidRDefault="00AC2238" w:rsidP="003A72CB">
      <w:pPr>
        <w:pStyle w:val="ListParagraph"/>
        <w:widowControl w:val="0"/>
        <w:suppressAutoHyphens/>
        <w:rPr>
          <w:rFonts w:ascii="Times New Roman" w:hAnsi="Times New Roman"/>
          <w:i/>
        </w:rPr>
      </w:pPr>
      <w:proofErr w:type="gramStart"/>
      <w:r w:rsidRPr="00AC2238">
        <w:rPr>
          <w:rFonts w:ascii="Times New Roman" w:hAnsi="Times New Roman"/>
          <w:i/>
        </w:rPr>
        <w:t>writing</w:t>
      </w:r>
      <w:proofErr w:type="gramEnd"/>
      <w:r w:rsidRPr="00AC2238">
        <w:rPr>
          <w:rFonts w:ascii="Times New Roman" w:hAnsi="Times New Roman"/>
          <w:i/>
        </w:rPr>
        <w:t xml:space="preserve"> lab</w:t>
      </w:r>
      <w:r w:rsidRPr="00AC2238">
        <w:rPr>
          <w:rFonts w:ascii="Times New Roman" w:hAnsi="Times New Roman"/>
        </w:rPr>
        <w:t>. Retrieved November 10, 2012, from http://owl.english.purdue.edu/owl/resource/</w:t>
      </w:r>
    </w:p>
    <w:p w:rsidR="00AC2238" w:rsidRDefault="00AC2238" w:rsidP="003A72CB">
      <w:pPr>
        <w:pStyle w:val="ListParagraph"/>
      </w:pPr>
    </w:p>
    <w:p w:rsidR="00E70C0F" w:rsidRDefault="00E70C0F" w:rsidP="00D63CC5">
      <w:pPr>
        <w:pStyle w:val="ListParagraph"/>
      </w:pPr>
    </w:p>
    <w:sectPr w:rsidR="00E70C0F" w:rsidSect="00E70C0F">
      <w:head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305" w:rsidRDefault="00F90305">
    <w:pPr>
      <w:pStyle w:val="Header"/>
    </w:pPr>
    <w:r>
      <w:tab/>
    </w:r>
    <w:r>
      <w:tab/>
      <w:t xml:space="preserve">Farrall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r>
      <w:rPr>
        <w:rFonts w:ascii="Times New Roman" w:hAnsi="Times New Roman"/>
      </w:rPr>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5E12"/>
    <w:multiLevelType w:val="hybridMultilevel"/>
    <w:tmpl w:val="63E26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E25E8"/>
    <w:multiLevelType w:val="hybridMultilevel"/>
    <w:tmpl w:val="297251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BB1775"/>
    <w:multiLevelType w:val="hybridMultilevel"/>
    <w:tmpl w:val="4EE2B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BC61D9"/>
    <w:multiLevelType w:val="hybridMultilevel"/>
    <w:tmpl w:val="320E9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63CC5"/>
    <w:rsid w:val="000817F6"/>
    <w:rsid w:val="000D1AAA"/>
    <w:rsid w:val="001A4B6A"/>
    <w:rsid w:val="00216620"/>
    <w:rsid w:val="003A72CB"/>
    <w:rsid w:val="004923D8"/>
    <w:rsid w:val="00527D03"/>
    <w:rsid w:val="005E091C"/>
    <w:rsid w:val="00671A6A"/>
    <w:rsid w:val="00714837"/>
    <w:rsid w:val="00801F85"/>
    <w:rsid w:val="0087426F"/>
    <w:rsid w:val="00AC2238"/>
    <w:rsid w:val="00B55958"/>
    <w:rsid w:val="00BA59FD"/>
    <w:rsid w:val="00D63CC5"/>
    <w:rsid w:val="00E70C0F"/>
    <w:rsid w:val="00F10A01"/>
    <w:rsid w:val="00F9030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B1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63CC5"/>
    <w:pPr>
      <w:ind w:left="720"/>
      <w:contextualSpacing/>
    </w:pPr>
  </w:style>
  <w:style w:type="paragraph" w:styleId="HTMLPreformatted">
    <w:name w:val="HTML Preformatted"/>
    <w:basedOn w:val="Normal"/>
    <w:link w:val="HTMLPreformattedChar"/>
    <w:uiPriority w:val="99"/>
    <w:rsid w:val="00AC2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mbria" w:hAnsi="Courier" w:cs="Courier"/>
      <w:sz w:val="20"/>
      <w:szCs w:val="20"/>
    </w:rPr>
  </w:style>
  <w:style w:type="character" w:customStyle="1" w:styleId="HTMLPreformattedChar">
    <w:name w:val="HTML Preformatted Char"/>
    <w:basedOn w:val="DefaultParagraphFont"/>
    <w:link w:val="HTMLPreformatted"/>
    <w:uiPriority w:val="99"/>
    <w:rsid w:val="00AC2238"/>
    <w:rPr>
      <w:rFonts w:ascii="Courier" w:eastAsia="Cambria" w:hAnsi="Courier" w:cs="Courier"/>
      <w:sz w:val="20"/>
      <w:szCs w:val="20"/>
    </w:rPr>
  </w:style>
  <w:style w:type="paragraph" w:styleId="Header">
    <w:name w:val="header"/>
    <w:basedOn w:val="Normal"/>
    <w:link w:val="HeaderChar"/>
    <w:uiPriority w:val="99"/>
    <w:semiHidden/>
    <w:unhideWhenUsed/>
    <w:rsid w:val="00F90305"/>
    <w:pPr>
      <w:tabs>
        <w:tab w:val="center" w:pos="4320"/>
        <w:tab w:val="right" w:pos="8640"/>
      </w:tabs>
    </w:pPr>
  </w:style>
  <w:style w:type="character" w:customStyle="1" w:styleId="HeaderChar">
    <w:name w:val="Header Char"/>
    <w:basedOn w:val="DefaultParagraphFont"/>
    <w:link w:val="Header"/>
    <w:uiPriority w:val="99"/>
    <w:semiHidden/>
    <w:rsid w:val="00F90305"/>
  </w:style>
  <w:style w:type="paragraph" w:styleId="Footer">
    <w:name w:val="footer"/>
    <w:basedOn w:val="Normal"/>
    <w:link w:val="FooterChar"/>
    <w:uiPriority w:val="99"/>
    <w:semiHidden/>
    <w:unhideWhenUsed/>
    <w:rsid w:val="00F90305"/>
    <w:pPr>
      <w:tabs>
        <w:tab w:val="center" w:pos="4320"/>
        <w:tab w:val="right" w:pos="8640"/>
      </w:tabs>
    </w:pPr>
  </w:style>
  <w:style w:type="character" w:customStyle="1" w:styleId="FooterChar">
    <w:name w:val="Footer Char"/>
    <w:basedOn w:val="DefaultParagraphFont"/>
    <w:link w:val="Footer"/>
    <w:uiPriority w:val="99"/>
    <w:semiHidden/>
    <w:rsid w:val="00F9030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abtestsonline.org/glossary/connective/"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4</Pages>
  <Words>1157</Words>
  <Characters>6600</Characters>
  <Application>Microsoft Macintosh Word</Application>
  <DocSecurity>0</DocSecurity>
  <Lines>55</Lines>
  <Paragraphs>13</Paragraphs>
  <ScaleCrop>false</ScaleCrop>
  <LinksUpToDate>false</LinksUpToDate>
  <CharactersWithSpaces>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Farrall</dc:creator>
  <cp:keywords/>
  <cp:lastModifiedBy>Jackie Farrall</cp:lastModifiedBy>
  <cp:revision>15</cp:revision>
  <dcterms:created xsi:type="dcterms:W3CDTF">2013-02-03T14:57:00Z</dcterms:created>
  <dcterms:modified xsi:type="dcterms:W3CDTF">2013-02-04T22:04:00Z</dcterms:modified>
</cp:coreProperties>
</file>